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76" w:lineRule="auto"/>
        <w:rPr>
          <w:rFonts w:eastAsia="Calibri"/>
          <w:lang w:eastAsia="en-US"/>
        </w:rPr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Приложение № </w:t>
      </w:r>
      <w:r>
        <w:rPr>
          <w:rFonts w:eastAsia="Calibri"/>
          <w:lang w:eastAsia="en-US"/>
        </w:rPr>
        <w:t xml:space="preserve">1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4248" w:firstLine="708"/>
        <w:jc w:val="center"/>
      </w:pPr>
      <w:r>
        <w:t xml:space="preserve">к приглашению к участию</w:t>
      </w:r>
      <w:r/>
    </w:p>
    <w:p>
      <w:pPr>
        <w:jc w:val="center"/>
      </w:pPr>
      <w:r>
        <w:t xml:space="preserve">                                                                                                </w:t>
      </w:r>
      <w:r>
        <w:t xml:space="preserve">в закупке способом сравнения цен</w:t>
      </w:r>
      <w:r/>
    </w:p>
    <w:p>
      <w:pPr>
        <w:jc w:val="center"/>
      </w:pPr>
      <w:r>
        <w:t xml:space="preserve">                                                                                             №</w:t>
      </w:r>
      <w:r>
        <w:t xml:space="preserve"> ЮЭС/02-9/3/1 </w:t>
      </w:r>
      <w:r>
        <w:t xml:space="preserve">от 29.05.2026 </w:t>
      </w:r>
      <w:r>
        <w:t xml:space="preserve">г. </w:t>
      </w:r>
      <w:r/>
    </w:p>
    <w:p>
      <w:pPr>
        <w:jc w:val="center"/>
        <w:tabs>
          <w:tab w:val="left" w:pos="77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120" w:lineRule="auto"/>
        <w:tabs>
          <w:tab w:val="left" w:pos="774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tabs>
          <w:tab w:val="left" w:pos="7740" w:leader="none"/>
        </w:tabs>
        <w:rPr>
          <w:b/>
          <w:bCs/>
          <w:sz w:val="28"/>
          <w:szCs w:val="28"/>
          <w:highlight w:val="none"/>
        </w:rPr>
      </w:pP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химчистку специальной одежды персонала Южных электрических сетей для нужд ПАО «Россети Московский регион»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spacing w:line="168" w:lineRule="auto"/>
        <w:tabs>
          <w:tab w:val="left" w:pos="7740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168" w:lineRule="auto"/>
        <w:tabs>
          <w:tab w:val="left" w:pos="7740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426"/>
        <w:jc w:val="both"/>
        <w:tabs>
          <w:tab w:val="left" w:pos="774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Общая стоимость услуг составляет </w:t>
      </w:r>
      <w:r>
        <w:rPr>
          <w:b/>
          <w:sz w:val="26"/>
          <w:szCs w:val="26"/>
        </w:rPr>
        <w:t xml:space="preserve">408 6</w:t>
      </w:r>
      <w:r>
        <w:rPr>
          <w:b/>
          <w:sz w:val="26"/>
          <w:szCs w:val="26"/>
        </w:rPr>
        <w:t xml:space="preserve">00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руб. 00 коп. без НДС.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426"/>
        <w:jc w:val="both"/>
        <w:tabs>
          <w:tab w:val="left" w:pos="774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Общая стоимость услуг составляет </w:t>
      </w:r>
      <w:r>
        <w:rPr>
          <w:b/>
          <w:sz w:val="26"/>
          <w:szCs w:val="26"/>
        </w:rPr>
        <w:t xml:space="preserve">498 492</w:t>
      </w:r>
      <w:r>
        <w:rPr>
          <w:b/>
          <w:sz w:val="26"/>
          <w:szCs w:val="26"/>
        </w:rPr>
        <w:t xml:space="preserve"> руб. 0</w:t>
      </w:r>
      <w:r>
        <w:rPr>
          <w:b/>
          <w:sz w:val="26"/>
          <w:szCs w:val="26"/>
        </w:rPr>
        <w:t xml:space="preserve">0 коп. с НДС 22 %.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left"/>
        <w:spacing w:line="120" w:lineRule="auto"/>
        <w:tabs>
          <w:tab w:val="left" w:pos="77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spacing w:line="120" w:lineRule="auto"/>
        <w:tabs>
          <w:tab w:val="left" w:pos="77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tabs>
          <w:tab w:val="left" w:pos="774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Авансирование не предусмотрено.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tabs>
          <w:tab w:val="left" w:pos="426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С</w:t>
      </w:r>
      <w:r>
        <w:rPr>
          <w:b/>
          <w:sz w:val="26"/>
          <w:szCs w:val="26"/>
        </w:rPr>
        <w:t xml:space="preserve">т</w:t>
      </w:r>
      <w:r>
        <w:rPr>
          <w:b/>
          <w:sz w:val="26"/>
          <w:szCs w:val="26"/>
        </w:rPr>
        <w:t xml:space="preserve">атья: Мероприятия по охране </w:t>
      </w:r>
      <w:r>
        <w:rPr>
          <w:b/>
          <w:sz w:val="26"/>
          <w:szCs w:val="26"/>
        </w:rPr>
        <w:t xml:space="preserve">труда</w:t>
      </w:r>
      <w:r>
        <w:rPr>
          <w:b/>
          <w:sz w:val="26"/>
          <w:szCs w:val="26"/>
        </w:rPr>
        <w:t xml:space="preserve"> из себестоимости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spacing w:line="168" w:lineRule="auto"/>
      </w:pPr>
      <w:r/>
      <w:r/>
    </w:p>
    <w:p>
      <w:pPr>
        <w:spacing w:line="168" w:lineRule="auto"/>
      </w:pPr>
      <w:r/>
      <w:r/>
    </w:p>
    <w:p>
      <w:pPr>
        <w:ind w:firstLine="709"/>
        <w:rPr>
          <w:b/>
          <w:bCs/>
        </w:rPr>
      </w:pPr>
      <w:r>
        <w:rPr>
          <w:b/>
          <w:bCs/>
        </w:rPr>
        <w:t xml:space="preserve">1.</w:t>
      </w:r>
      <w:r>
        <w:rPr>
          <w:b/>
          <w:bCs/>
        </w:rPr>
        <w:tab/>
      </w:r>
      <w:r>
        <w:rPr>
          <w:b/>
          <w:bCs/>
        </w:rPr>
        <w:t xml:space="preserve">Обоснование необходимости </w:t>
      </w:r>
      <w:r>
        <w:rPr>
          <w:b/>
          <w:bCs/>
        </w:rPr>
        <w:t xml:space="preserve">получения услуг</w:t>
      </w:r>
      <w:r>
        <w:rPr>
          <w:b/>
          <w:bCs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1.1.</w:t>
      </w:r>
      <w:r>
        <w:rPr>
          <w:b/>
          <w:bCs/>
        </w:rPr>
        <w:tab/>
      </w:r>
      <w:r>
        <w:rPr>
          <w:b/>
          <w:bCs/>
        </w:rPr>
        <w:t xml:space="preserve">Перечень основных нормативных правовых актов, регулирующих предмет закупки.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1"/>
        </w:numPr>
        <w:ind w:firstLine="709"/>
        <w:jc w:val="both"/>
        <w:tabs>
          <w:tab w:val="left" w:pos="1134" w:leader="none"/>
        </w:tabs>
      </w:pPr>
      <w:r>
        <w:rPr>
          <w:spacing w:val="-7"/>
        </w:rPr>
        <w:t xml:space="preserve">Трудовой кодекс РФ статья 22 «Основные права и обязанности работодателя»</w:t>
      </w:r>
      <w:r/>
    </w:p>
    <w:p>
      <w:pPr>
        <w:numPr>
          <w:ilvl w:val="0"/>
          <w:numId w:val="1"/>
        </w:numPr>
        <w:ind w:firstLine="709"/>
        <w:jc w:val="both"/>
        <w:tabs>
          <w:tab w:val="left" w:pos="1134" w:leader="none"/>
        </w:tabs>
      </w:pPr>
      <w:r>
        <w:rPr>
          <w:spacing w:val="-7"/>
        </w:rPr>
        <w:t xml:space="preserve">Трудовой кодекс РФ раздел Х «Охрана труда»</w:t>
      </w:r>
      <w:r/>
    </w:p>
    <w:p>
      <w:pPr>
        <w:numPr>
          <w:ilvl w:val="0"/>
          <w:numId w:val="1"/>
        </w:numPr>
        <w:ind w:firstLine="709"/>
        <w:jc w:val="both"/>
        <w:tabs>
          <w:tab w:val="left" w:pos="1134" w:leader="none"/>
        </w:tabs>
      </w:pPr>
      <w:r>
        <w:rPr>
          <w:spacing w:val="-7"/>
          <w:highlight w:val="none"/>
        </w:rPr>
        <w:t xml:space="preserve">Правила обеспечения работников средствами индивидуальной защиты и смывающими средствами</w:t>
      </w:r>
      <w:r>
        <w:rPr>
          <w:spacing w:val="-7"/>
          <w:highlight w:val="none"/>
        </w:rPr>
        <w:t xml:space="preserve"> (</w:t>
      </w:r>
      <w:r>
        <w:rPr>
          <w:spacing w:val="-7"/>
          <w:highlight w:val="none"/>
        </w:rPr>
        <w:t xml:space="preserve">Приказ Министерства труда и социальной защиты РФ от 29.10.2021 №766н</w:t>
      </w:r>
      <w:r>
        <w:rPr>
          <w:spacing w:val="-7"/>
          <w:highlight w:val="none"/>
        </w:rPr>
        <w:t xml:space="preserve"> (в действующей редакции)</w:t>
      </w:r>
      <w:r>
        <w:rPr>
          <w:spacing w:val="-7"/>
          <w:highlight w:val="none"/>
        </w:rPr>
      </w:r>
      <w:r/>
    </w:p>
    <w:p>
      <w:pPr>
        <w:ind w:left="709"/>
        <w:jc w:val="both"/>
        <w:spacing w:line="168" w:lineRule="auto"/>
        <w:tabs>
          <w:tab w:val="left" w:pos="113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709"/>
        <w:jc w:val="both"/>
        <w:tabs>
          <w:tab w:val="left" w:pos="1134" w:leader="none"/>
        </w:tabs>
      </w:pPr>
      <w:r>
        <w:rPr>
          <w:b/>
          <w:bCs/>
        </w:rPr>
        <w:t xml:space="preserve">1.2.</w:t>
      </w:r>
      <w:r>
        <w:rPr>
          <w:b/>
          <w:bCs/>
        </w:rPr>
        <w:tab/>
      </w:r>
      <w:r>
        <w:rPr>
          <w:b/>
          <w:bCs/>
        </w:rPr>
        <w:t xml:space="preserve">Цель </w:t>
      </w:r>
      <w:r>
        <w:rPr>
          <w:b/>
          <w:bCs/>
        </w:rPr>
        <w:t xml:space="preserve">поставки</w:t>
      </w:r>
      <w:r>
        <w:rPr>
          <w:b/>
          <w:bCs/>
        </w:rPr>
        <w:t xml:space="preserve">:</w:t>
      </w:r>
      <w:r/>
    </w:p>
    <w:p>
      <w:pPr>
        <w:pStyle w:val="872"/>
        <w:ind w:left="0" w:firstLine="709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Предотвращения или уменьшения воздействия на работников вредных и (или) опасных производственных факторов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персонала</w:t>
      </w:r>
      <w:r>
        <w:rPr>
          <w:sz w:val="24"/>
          <w:szCs w:val="24"/>
        </w:rPr>
        <w:t xml:space="preserve"> Южных электрических сетей – филиала ПАО «Россети Московский регион»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ind w:left="0" w:firstLine="709"/>
        <w:spacing w:after="0" w:line="168" w:lineRule="auto"/>
        <w:tabs>
          <w:tab w:val="left" w:pos="1134" w:leader="none"/>
        </w:tabs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</w:r>
      <w:r>
        <w:rPr>
          <w:b/>
          <w:bCs w:val="0"/>
          <w:sz w:val="24"/>
          <w:szCs w:val="24"/>
        </w:rPr>
      </w:r>
      <w:r>
        <w:rPr>
          <w:b/>
          <w:bCs w:val="0"/>
          <w:sz w:val="24"/>
          <w:szCs w:val="24"/>
        </w:rPr>
      </w:r>
    </w:p>
    <w:p>
      <w:pPr>
        <w:pStyle w:val="872"/>
        <w:ind w:left="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b/>
          <w:bCs w:val="0"/>
          <w:sz w:val="24"/>
          <w:szCs w:val="24"/>
        </w:rPr>
        <w:t xml:space="preserve">1.3.</w:t>
      </w:r>
      <w:r>
        <w:rPr>
          <w:b/>
          <w:bCs w:val="0"/>
          <w:sz w:val="24"/>
          <w:szCs w:val="24"/>
        </w:rPr>
        <w:tab/>
        <w:t xml:space="preserve">Перечень выполняемых </w:t>
      </w:r>
      <w:r>
        <w:rPr>
          <w:b/>
          <w:bCs w:val="0"/>
          <w:sz w:val="24"/>
          <w:szCs w:val="24"/>
        </w:rPr>
        <w:t xml:space="preserve">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426" w:leader="none"/>
          <w:tab w:val="left" w:pos="1134" w:leader="none"/>
        </w:tabs>
        <w:rPr>
          <w:b/>
        </w:rPr>
      </w:pPr>
      <w:r>
        <w:tab/>
        <w:t xml:space="preserve">     </w:t>
      </w:r>
      <w:r>
        <w:t xml:space="preserve">1.3.1</w:t>
      </w:r>
      <w:r>
        <w:t xml:space="preserve">.</w:t>
      </w:r>
      <w:r>
        <w:t xml:space="preserve"> Химчистка специальной одежды персонала Южных электрических сетей для нужд ПАО «Россети Московский регион»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line="168" w:lineRule="auto"/>
        <w:tabs>
          <w:tab w:val="left" w:pos="113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tabs>
          <w:tab w:val="left" w:pos="1134" w:leader="none"/>
        </w:tabs>
        <w:rPr>
          <w:b/>
          <w:bCs/>
        </w:rPr>
      </w:pPr>
      <w:r>
        <w:rPr>
          <w:b/>
          <w:bCs/>
        </w:rPr>
        <w:t xml:space="preserve">2.</w:t>
      </w:r>
      <w:r>
        <w:rPr>
          <w:b/>
          <w:bCs/>
        </w:rPr>
        <w:tab/>
        <w:t xml:space="preserve">Порядок </w:t>
      </w:r>
      <w:r>
        <w:rPr>
          <w:b/>
          <w:bCs/>
        </w:rPr>
        <w:t xml:space="preserve">выполнения услуг.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</w:pPr>
      <w:r>
        <w:t xml:space="preserve">2.1. </w:t>
      </w:r>
      <w:r>
        <w:t xml:space="preserve">Работы (услуги)</w:t>
      </w:r>
      <w:r>
        <w:t xml:space="preserve"> </w:t>
      </w:r>
      <w:r>
        <w:t xml:space="preserve">должны быть оказаны</w:t>
      </w:r>
      <w:r>
        <w:t xml:space="preserve"> в полном соответствии с требованиями нормативно-правовых актов</w:t>
      </w:r>
      <w:r>
        <w:t xml:space="preserve">,</w:t>
      </w:r>
      <w:r>
        <w:t xml:space="preserve"> указанных в п. 1.1</w:t>
      </w:r>
      <w:r>
        <w:t xml:space="preserve"> </w:t>
      </w:r>
      <w:r>
        <w:t xml:space="preserve">настоящего ТЗ</w:t>
      </w:r>
      <w:r>
        <w:t xml:space="preserve">.</w:t>
      </w:r>
      <w:r/>
    </w:p>
    <w:p>
      <w:pPr>
        <w:ind w:firstLine="709"/>
        <w:jc w:val="both"/>
      </w:pPr>
      <w:r>
        <w:t xml:space="preserve">2.2. </w:t>
      </w:r>
      <w:r>
        <w:t xml:space="preserve">Исполнитель своими силами осуществляет:</w:t>
      </w:r>
      <w:r/>
    </w:p>
    <w:p>
      <w:pPr>
        <w:pStyle w:val="886"/>
        <w:numPr>
          <w:ilvl w:val="0"/>
          <w:numId w:val="5"/>
        </w:numPr>
        <w:ind w:left="1134" w:hanging="425"/>
        <w:jc w:val="both"/>
        <w:tabs>
          <w:tab w:val="left" w:pos="1134" w:leader="none"/>
        </w:tabs>
      </w:pPr>
      <w:r>
        <w:t xml:space="preserve">З</w:t>
      </w:r>
      <w:r>
        <w:t xml:space="preserve">абор Комплектов специ</w:t>
      </w:r>
      <w:r>
        <w:t xml:space="preserve">альной одежды в подразделениях </w:t>
      </w:r>
      <w:r>
        <w:t xml:space="preserve">Заказчика</w:t>
      </w:r>
      <w:r>
        <w:t xml:space="preserve">, указанных в разделе 3 настоящего технического задания</w:t>
      </w:r>
      <w:r>
        <w:t xml:space="preserve"> по отдельным заявкам Заказчика</w:t>
      </w:r>
      <w:r>
        <w:t xml:space="preserve">.</w:t>
      </w:r>
      <w:r/>
    </w:p>
    <w:p>
      <w:pPr>
        <w:pStyle w:val="886"/>
        <w:numPr>
          <w:ilvl w:val="0"/>
          <w:numId w:val="5"/>
        </w:numPr>
        <w:ind w:hanging="720"/>
        <w:jc w:val="both"/>
        <w:tabs>
          <w:tab w:val="left" w:pos="1134" w:leader="none"/>
        </w:tabs>
      </w:pPr>
      <w:r>
        <w:t xml:space="preserve">Д</w:t>
      </w:r>
      <w:r>
        <w:t xml:space="preserve">оставка Комплектов спец</w:t>
      </w:r>
      <w:r>
        <w:t xml:space="preserve">иальной одежды в подразделения </w:t>
      </w:r>
      <w:r>
        <w:t xml:space="preserve">Заказчика. </w:t>
      </w:r>
      <w:r/>
    </w:p>
    <w:p>
      <w:pPr>
        <w:ind w:firstLine="709"/>
        <w:jc w:val="both"/>
        <w:rPr>
          <w:bCs/>
        </w:rPr>
      </w:pPr>
      <w:r>
        <w:rPr>
          <w:bCs/>
        </w:rPr>
        <w:t xml:space="preserve">2</w:t>
      </w:r>
      <w:r>
        <w:rPr>
          <w:bCs/>
        </w:rPr>
        <w:t xml:space="preserve">.3. Стоимость </w:t>
      </w:r>
      <w:r>
        <w:rPr>
          <w:bCs/>
        </w:rPr>
        <w:t xml:space="preserve">забора и </w:t>
      </w:r>
      <w:r>
        <w:rPr>
          <w:bCs/>
        </w:rPr>
        <w:t xml:space="preserve">доставки</w:t>
      </w:r>
      <w:r>
        <w:rPr>
          <w:bCs/>
        </w:rPr>
        <w:t xml:space="preserve"> </w:t>
      </w:r>
      <w:r>
        <w:rPr>
          <w:bCs/>
        </w:rPr>
        <w:t xml:space="preserve">комплектов </w:t>
      </w:r>
      <w:r>
        <w:rPr>
          <w:bCs/>
        </w:rPr>
        <w:t xml:space="preserve">специальной одежды входя</w:t>
      </w:r>
      <w:r>
        <w:rPr>
          <w:bCs/>
        </w:rPr>
        <w:t xml:space="preserve">т в </w:t>
      </w:r>
      <w:r>
        <w:rPr>
          <w:bCs/>
        </w:rPr>
        <w:t xml:space="preserve">стоимость</w:t>
      </w:r>
      <w:r>
        <w:rPr>
          <w:bCs/>
        </w:rPr>
        <w:t xml:space="preserve"> единицы </w:t>
      </w:r>
      <w:r>
        <w:rPr>
          <w:bCs/>
        </w:rPr>
        <w:t xml:space="preserve">работ (услуг)</w:t>
      </w:r>
      <w:r>
        <w:rPr>
          <w:bCs/>
        </w:rPr>
        <w:t xml:space="preserve">, указанных в п.1.3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firstLine="708"/>
        <w:jc w:val="both"/>
        <w:rPr>
          <w:highlight w:val="none"/>
        </w:rPr>
      </w:pPr>
      <w:r>
        <w:rPr>
          <w:bCs/>
        </w:rPr>
        <w:t xml:space="preserve">2.4. </w:t>
      </w:r>
      <w:r>
        <w:rPr>
          <w:bCs/>
        </w:rPr>
        <w:t xml:space="preserve">Исполнитель должен осуществить забор у Заказчика комплектов специальной одежды</w:t>
      </w:r>
      <w:r>
        <w:rPr>
          <w:bCs/>
        </w:rPr>
        <w:t xml:space="preserve"> (не менее трех комплектов)</w:t>
      </w:r>
      <w:r>
        <w:rPr>
          <w:bCs/>
        </w:rPr>
        <w:t xml:space="preserve">, осуществить их химчистку и вернуть в подразделения, откуда спец</w:t>
      </w:r>
      <w:r>
        <w:rPr>
          <w:bCs/>
        </w:rPr>
        <w:t xml:space="preserve">иальная </w:t>
      </w:r>
      <w:r>
        <w:rPr>
          <w:bCs/>
        </w:rPr>
        <w:t xml:space="preserve">одежда была передана Исполнителю</w:t>
      </w:r>
      <w:r>
        <w:rPr>
          <w:bCs/>
        </w:rPr>
        <w:t xml:space="preserve"> для оказания работ (услуг)</w:t>
      </w:r>
      <w:r>
        <w:rPr>
          <w:bCs/>
        </w:rPr>
        <w:t xml:space="preserve">,</w:t>
      </w:r>
      <w:r>
        <w:rPr>
          <w:bCs/>
        </w:rPr>
        <w:t xml:space="preserve"> не позднее 3-х (трех дней), включая день забора </w:t>
      </w:r>
      <w:r>
        <w:rPr>
          <w:bCs/>
        </w:rPr>
        <w:t xml:space="preserve">и день возврата </w:t>
      </w:r>
      <w:r>
        <w:rPr>
          <w:bCs/>
        </w:rPr>
        <w:t xml:space="preserve">комплектов </w:t>
      </w:r>
      <w:r>
        <w:rPr>
          <w:bCs/>
        </w:rPr>
        <w:t xml:space="preserve">спец</w:t>
      </w:r>
      <w:r>
        <w:rPr>
          <w:bCs/>
        </w:rPr>
        <w:t xml:space="preserve">иальной </w:t>
      </w:r>
      <w:r>
        <w:rPr>
          <w:bCs/>
        </w:rPr>
        <w:t xml:space="preserve">одежды.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firstLine="0"/>
        <w:jc w:val="both"/>
        <w:spacing w:line="168" w:lineRule="auto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3</w:t>
      </w:r>
      <w:r>
        <w:rPr>
          <w:b/>
          <w:bCs/>
        </w:rPr>
        <w:t xml:space="preserve">.</w:t>
      </w:r>
      <w:r>
        <w:rPr>
          <w:b/>
          <w:bCs/>
        </w:rPr>
        <w:tab/>
      </w:r>
      <w:r>
        <w:rPr>
          <w:b/>
          <w:bCs/>
        </w:rPr>
        <w:t xml:space="preserve">Места</w:t>
      </w:r>
      <w:r>
        <w:rPr>
          <w:b/>
          <w:bCs/>
        </w:rPr>
        <w:t xml:space="preserve"> </w:t>
      </w:r>
      <w:r>
        <w:rPr>
          <w:b/>
          <w:bCs/>
        </w:rPr>
        <w:t xml:space="preserve">забора и доставки: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jc w:val="both"/>
        <w:spacing w:line="120" w:lineRule="auto"/>
      </w:pPr>
      <w:r/>
      <w:r/>
    </w:p>
    <w:tbl>
      <w:tblPr>
        <w:tblpPr w:horzAnchor="margin" w:tblpXSpec="left" w:vertAnchor="text" w:tblpY="-2" w:leftFromText="180" w:topFromText="0" w:rightFromText="180" w:bottomFromText="0"/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3944"/>
        <w:gridCol w:w="5246"/>
      </w:tblGrid>
      <w:tr>
        <w:tblPrEx/>
        <w:trPr>
          <w:trHeight w:val="7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  <w:outlineLvl w:val="3"/>
            </w:pPr>
            <w:r>
              <w:rPr>
                <w:b/>
              </w:rPr>
              <w:t xml:space="preserve">№№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vAlign w:val="center"/>
            <w:textDirection w:val="lrTb"/>
            <w:noWrap w:val="false"/>
          </w:tcPr>
          <w:p>
            <w:pPr>
              <w:jc w:val="center"/>
              <w:spacing w:line="168" w:lineRule="auto"/>
              <w:widowControl w:val="off"/>
              <w:rPr>
                <w:b/>
              </w:rPr>
              <w:outlineLvl w:val="3"/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widowControl w:val="off"/>
              <w:rPr>
                <w:b/>
              </w:rPr>
              <w:outlineLvl w:val="3"/>
            </w:pPr>
            <w:r>
              <w:rPr>
                <w:b/>
              </w:rPr>
              <w:t xml:space="preserve">объекта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  <w:outlineLvl w:val="3"/>
            </w:pPr>
            <w:r>
              <w:rPr>
                <w:b/>
              </w:rPr>
              <w:t xml:space="preserve">Адрес поставки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АБК-2 (СДТУ, СРЗА, СИиЗП, СЛЭП, СМ, САиСМ)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 </w:t>
            </w:r>
            <w:r>
              <w:rPr>
                <w:sz w:val="22"/>
                <w:szCs w:val="22"/>
              </w:rPr>
              <w:t xml:space="preserve">о. </w:t>
            </w:r>
            <w:r>
              <w:rPr>
                <w:sz w:val="22"/>
                <w:szCs w:val="22"/>
              </w:rPr>
              <w:t xml:space="preserve">Подольск, ул. Орджоникидзе, д. 23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Подольский РЭС (Подольская ГПС)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</w:t>
            </w:r>
            <w:r>
              <w:rPr>
                <w:sz w:val="22"/>
                <w:szCs w:val="22"/>
              </w:rPr>
              <w:t xml:space="preserve">о. </w:t>
            </w:r>
            <w:r>
              <w:rPr>
                <w:sz w:val="22"/>
                <w:szCs w:val="22"/>
              </w:rPr>
              <w:t xml:space="preserve"> Подольск, ул. Орджоникидзе, д.27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5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Каширский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 Кашира, ул. Клубная, д. 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Ступинский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Ступинский р-н, п. Михнево, пр-д Энергетиков, д.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Раменская ГПС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Люберцы, Котельнический пр-д, д. 15б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Ленинский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Ленинский р-н, п. Развилка, 1-й квартал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Раменский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 Бронницы, Каширский пер., вл.44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Домодедовский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</w:t>
            </w:r>
            <w:r>
              <w:rPr>
                <w:sz w:val="22"/>
                <w:szCs w:val="22"/>
              </w:rPr>
              <w:t xml:space="preserve">о.</w:t>
            </w:r>
            <w:r>
              <w:rPr>
                <w:sz w:val="22"/>
                <w:szCs w:val="22"/>
              </w:rPr>
              <w:t xml:space="preserve"> Домодедово, мкрн. Белые Столбы, ул. Авенариуса, д. 10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Серпуховский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Серпуховский р-н, п. Большевик,                  ул. Карпова, д. 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4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Чеховский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 Чехов, ул. Солнышевская, д. 75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Жуковский 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Жуковский, ул.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Жуковского, д.27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dxa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4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АВС Оперативная группировка РИСЭ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Москва, Харьковский проезд, д. 4, стр.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" w:type="dxa"/>
            <w:vMerge w:val="restart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Каширская ГПС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р.п. Серебряные Пруды, ул. Набережная, д. 95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" w:type="dxa"/>
            <w:vMerge w:val="restart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Домодедовская ГПС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Московская область, Домодедово г.о., г.Домодедово, ул. Ломоносова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" w:type="dxa"/>
            <w:vMerge w:val="restart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Серпуховская ГПС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Московская область, Серпухов г.о., г.Серпухов, ул.Красных партизан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" w:type="dxa"/>
            <w:vMerge w:val="restart"/>
            <w:textDirection w:val="lrTb"/>
            <w:noWrap w:val="false"/>
          </w:tcPr>
          <w:p>
            <w:pPr>
              <w:widowControl w:val="off"/>
              <w:outlineLvl w:val="3"/>
            </w:pPr>
            <w: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Чеховская ГПС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Московская область, Чехов г.о., г.Чехов, ул.Полиграфистов (на тер. ГУП "Чеховский полиграфический комбинат 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709"/>
        <w:jc w:val="both"/>
        <w:spacing w:line="120" w:lineRule="auto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  <w:highlight w:val="none"/>
        </w:rPr>
      </w:pPr>
      <w:r>
        <w:rPr>
          <w:b/>
          <w:bCs/>
        </w:rPr>
        <w:t xml:space="preserve">4</w:t>
      </w:r>
      <w:r>
        <w:rPr>
          <w:b/>
          <w:bCs/>
        </w:rPr>
        <w:t xml:space="preserve">.</w:t>
      </w:r>
      <w:r>
        <w:rPr>
          <w:b/>
          <w:bCs/>
        </w:rPr>
        <w:tab/>
        <w:t xml:space="preserve">Требования к объемам.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-142" w:right="0" w:firstLine="851"/>
        <w:jc w:val="both"/>
      </w:pPr>
      <w:r>
        <w:t xml:space="preserve">4</w:t>
      </w:r>
      <w:r>
        <w:t xml:space="preserve">.1.</w:t>
      </w:r>
      <w:r>
        <w:tab/>
      </w:r>
      <w:r>
        <w:t xml:space="preserve">Объемы </w:t>
      </w:r>
      <w:r>
        <w:rPr>
          <w:bCs/>
        </w:rPr>
        <w:t xml:space="preserve">работ (услуг)</w:t>
      </w:r>
      <w:r>
        <w:t xml:space="preserve"> должны быть оказаны в полном соответствии с требованиями, указанных в п. 1.3.1, </w:t>
      </w:r>
      <w:r>
        <w:t xml:space="preserve">2.1-</w:t>
      </w:r>
      <w:r>
        <w:t xml:space="preserve"> 2.4</w:t>
      </w:r>
      <w:r>
        <w:t xml:space="preserve"> настоящего ТЗ. </w:t>
      </w:r>
      <w:r/>
    </w:p>
    <w:p>
      <w:pPr>
        <w:ind w:left="426" w:right="0" w:firstLine="283"/>
        <w:jc w:val="both"/>
      </w:pPr>
      <w:r>
        <w:t xml:space="preserve">4.2.     </w:t>
      </w:r>
      <w:r>
        <w:t xml:space="preserve">Комплект специальной одежды состоит:</w:t>
      </w:r>
      <w:r/>
    </w:p>
    <w:p>
      <w:pPr>
        <w:ind w:left="708" w:firstLine="708"/>
        <w:jc w:val="both"/>
      </w:pPr>
      <w:r>
        <w:t xml:space="preserve">Куртка без подкладки</w:t>
      </w:r>
      <w:r/>
    </w:p>
    <w:p>
      <w:pPr>
        <w:ind w:left="708" w:firstLine="708"/>
        <w:jc w:val="both"/>
      </w:pPr>
      <w:r>
        <w:t xml:space="preserve">Комбинезон без подкладки</w:t>
      </w:r>
      <w:r/>
    </w:p>
    <w:p>
      <w:pPr>
        <w:ind w:left="708" w:firstLine="708"/>
        <w:jc w:val="both"/>
      </w:pPr>
      <w:r>
        <w:t xml:space="preserve">Куртка утепленная</w:t>
      </w:r>
      <w:r/>
    </w:p>
    <w:p>
      <w:pPr>
        <w:ind w:left="708" w:firstLine="708"/>
        <w:jc w:val="both"/>
      </w:pPr>
      <w:r>
        <w:t xml:space="preserve">Комбинезон утепленный</w:t>
      </w:r>
      <w:r/>
    </w:p>
    <w:p>
      <w:pPr>
        <w:ind w:firstLine="709"/>
        <w:jc w:val="both"/>
        <w:spacing w:line="120" w:lineRule="auto"/>
      </w:pPr>
      <w:r/>
      <w:r/>
    </w:p>
    <w:p>
      <w:pPr>
        <w:ind w:firstLine="709"/>
        <w:jc w:val="both"/>
        <w:spacing w:after="113" w:afterAutospacing="0"/>
        <w:rPr>
          <w:b/>
          <w:bCs/>
        </w:rPr>
      </w:pPr>
      <w:r>
        <w:t xml:space="preserve"> </w:t>
      </w:r>
      <w:r>
        <w:rPr>
          <w:b/>
          <w:bCs/>
        </w:rPr>
        <w:t xml:space="preserve">5</w:t>
      </w:r>
      <w:r>
        <w:rPr>
          <w:b/>
          <w:bCs/>
        </w:rPr>
        <w:t xml:space="preserve">.</w:t>
      </w:r>
      <w:r>
        <w:rPr>
          <w:b/>
          <w:bCs/>
        </w:rPr>
        <w:tab/>
      </w:r>
      <w:r>
        <w:rPr>
          <w:b/>
          <w:bCs/>
        </w:rPr>
        <w:t xml:space="preserve">Расчет с</w:t>
      </w:r>
      <w:r>
        <w:rPr>
          <w:b/>
          <w:bCs/>
        </w:rPr>
        <w:t xml:space="preserve">тоимост</w:t>
      </w:r>
      <w:r>
        <w:rPr>
          <w:b/>
          <w:bCs/>
        </w:rPr>
        <w:t xml:space="preserve">и</w:t>
      </w:r>
      <w:r>
        <w:rPr>
          <w:b/>
          <w:bCs/>
        </w:rPr>
        <w:t xml:space="preserve"> </w:t>
      </w:r>
      <w:r>
        <w:rPr>
          <w:b/>
          <w:bCs/>
        </w:rPr>
        <w:t xml:space="preserve">работ (услуг)</w:t>
      </w:r>
      <w:r>
        <w:rPr>
          <w:b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tbl>
      <w:tblPr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134"/>
        <w:gridCol w:w="1276"/>
        <w:gridCol w:w="1559"/>
        <w:gridCol w:w="1843"/>
      </w:tblGrid>
      <w:tr>
        <w:tblPrEx/>
        <w:trPr>
          <w:trHeight w:val="100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ind w:right="11"/>
              <w:jc w:val="center"/>
              <w:keepNext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ind w:right="11"/>
              <w:jc w:val="center"/>
              <w:keepNext/>
              <w:rPr>
                <w:b/>
              </w:rPr>
            </w:pPr>
            <w:r>
              <w:rPr>
                <w:b/>
              </w:rPr>
              <w:t xml:space="preserve">Наименование работы/услуги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11"/>
              <w:keepNext/>
              <w:rPr>
                <w:b/>
              </w:rPr>
            </w:pPr>
            <w:r>
              <w:rPr>
                <w:b/>
              </w:rPr>
              <w:t xml:space="preserve">Ед. изм.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right="11"/>
              <w:keepNext/>
              <w:rPr>
                <w:b/>
              </w:rPr>
            </w:pPr>
            <w:r>
              <w:rPr>
                <w:b/>
              </w:rPr>
              <w:t xml:space="preserve">Кол-во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ind w:right="11"/>
              <w:jc w:val="center"/>
              <w:keepNext/>
              <w:rPr>
                <w:b/>
              </w:rPr>
            </w:pPr>
            <w:r>
              <w:rPr>
                <w:b/>
              </w:rPr>
              <w:t xml:space="preserve">Цена единицы, руб. без НДС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ind w:right="11"/>
              <w:jc w:val="center"/>
              <w:keepNext/>
              <w:rPr>
                <w:b/>
              </w:rPr>
            </w:pPr>
            <w:r>
              <w:rPr>
                <w:b/>
              </w:rPr>
              <w:t xml:space="preserve">Общая цена, руб., без НДС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 w:firstLine="0"/>
              <w:jc w:val="center"/>
              <w:tabs>
                <w:tab w:val="num" w:pos="0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r>
              <w:t xml:space="preserve">Химчистка комплекта специальной одежды (включая забор и доставку)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jc w:val="center"/>
              <w:spacing w:before="40" w:after="40"/>
            </w:pPr>
            <w:r>
              <w:t xml:space="preserve">Компл.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right="57" w:firstLine="426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 xml:space="preserve">227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ind w:right="57"/>
              <w:jc w:val="center"/>
              <w:spacing w:before="40" w:after="40"/>
            </w:pPr>
            <w:r>
              <w:t xml:space="preserve">1</w:t>
            </w:r>
            <w:r>
              <w:t xml:space="preserve"> </w:t>
            </w:r>
            <w:r>
              <w:rPr>
                <w:lang w:val="en-US"/>
              </w:rPr>
              <w:t xml:space="preserve">800</w:t>
            </w:r>
            <w:r>
              <w:t xml:space="preserve">,00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ind w:right="57" w:firstLine="37"/>
              <w:jc w:val="center"/>
              <w:spacing w:before="40" w:after="40"/>
            </w:pPr>
            <w:r>
              <w:t xml:space="preserve">408 600,00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ind w:right="57"/>
              <w:jc w:val="center"/>
              <w:spacing w:before="40" w:after="40"/>
              <w:rPr>
                <w:bCs/>
              </w:rPr>
            </w:pPr>
            <w:r>
              <w:rPr>
                <w:bCs/>
              </w:rPr>
              <w:t xml:space="preserve">ИТОГО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jc w:val="center"/>
              <w:spacing w:before="40" w:after="4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ind w:right="57"/>
              <w:jc w:val="center"/>
              <w:spacing w:before="40" w:after="40"/>
              <w:rPr>
                <w:bCs/>
              </w:rPr>
            </w:pPr>
            <w:r>
              <w:rPr>
                <w:bCs/>
              </w:rPr>
              <w:t xml:space="preserve">408 600</w:t>
            </w:r>
            <w:r>
              <w:rPr>
                <w:bCs/>
              </w:rPr>
              <w:t xml:space="preserve">,00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</w:pPr>
      <w:r>
        <w:rPr>
          <w:bCs/>
        </w:rPr>
        <w:t xml:space="preserve">Начальная (м</w:t>
      </w:r>
      <w:r>
        <w:rPr>
          <w:bCs/>
        </w:rPr>
        <w:t xml:space="preserve">аксимальная</w:t>
      </w:r>
      <w:r>
        <w:rPr>
          <w:bCs/>
        </w:rPr>
        <w:t xml:space="preserve">)</w:t>
      </w:r>
      <w:r>
        <w:rPr>
          <w:bCs/>
        </w:rPr>
        <w:t xml:space="preserve"> с</w:t>
      </w:r>
      <w:r>
        <w:rPr>
          <w:bCs/>
        </w:rPr>
        <w:t xml:space="preserve">тоимость договора </w:t>
      </w:r>
      <w:r>
        <w:rPr>
          <w:rFonts w:ascii="Times New Roman CYR" w:hAnsi="Times New Roman CYR" w:cs="Times New Roman CYR"/>
          <w:color w:val="000000"/>
        </w:rPr>
        <w:t xml:space="preserve">408 6</w:t>
      </w:r>
      <w:r>
        <w:rPr>
          <w:rFonts w:ascii="Times New Roman CYR" w:hAnsi="Times New Roman CYR" w:cs="Times New Roman CYR"/>
          <w:color w:val="000000"/>
        </w:rPr>
        <w:t xml:space="preserve">0</w:t>
      </w:r>
      <w:r>
        <w:rPr>
          <w:rFonts w:ascii="Times New Roman CYR" w:hAnsi="Times New Roman CYR" w:cs="Times New Roman CYR"/>
          <w:color w:val="000000"/>
        </w:rPr>
        <w:t xml:space="preserve">0</w:t>
      </w:r>
      <w:r>
        <w:rPr>
          <w:rFonts w:ascii="Times New Roman CYR" w:hAnsi="Times New Roman CYR" w:cs="Times New Roman CYR"/>
          <w:color w:val="000000"/>
        </w:rPr>
        <w:t xml:space="preserve">,00</w:t>
      </w:r>
      <w:r>
        <w:rPr>
          <w:rFonts w:ascii="Times New Roman CYR" w:hAnsi="Times New Roman CYR" w:cs="Times New Roman CYR"/>
          <w:color w:val="000000"/>
        </w:rPr>
        <w:t xml:space="preserve"> руб</w:t>
      </w:r>
      <w:r>
        <w:rPr>
          <w:rFonts w:ascii="Times New Roman CYR" w:hAnsi="Times New Roman CYR" w:cs="Times New Roman CYR"/>
          <w:color w:val="000000"/>
        </w:rPr>
        <w:t xml:space="preserve">. </w:t>
      </w:r>
      <w:r>
        <w:t xml:space="preserve">(</w:t>
      </w:r>
      <w:r>
        <w:t xml:space="preserve">Четыреста восемь тысяч шестьсот </w:t>
      </w:r>
      <w:r>
        <w:t xml:space="preserve">рублей</w:t>
      </w:r>
      <w:r>
        <w:t xml:space="preserve"> 00 копеек)</w:t>
      </w:r>
      <w:r>
        <w:rPr>
          <w:color w:val="000000"/>
        </w:rPr>
        <w:t xml:space="preserve"> </w:t>
      </w:r>
      <w:r>
        <w:rPr>
          <w:color w:val="000000"/>
        </w:rPr>
        <w:t xml:space="preserve">без </w:t>
      </w:r>
      <w:r>
        <w:rPr>
          <w:color w:val="000000"/>
        </w:rPr>
        <w:t xml:space="preserve">учета </w:t>
      </w:r>
      <w:r>
        <w:rPr>
          <w:color w:val="000000"/>
        </w:rPr>
        <w:t xml:space="preserve">НДС, </w:t>
      </w:r>
      <w:r>
        <w:t xml:space="preserve">в стоимос</w:t>
      </w:r>
      <w:r>
        <w:t xml:space="preserve">ть входит</w:t>
      </w:r>
      <w:r>
        <w:t xml:space="preserve"> в том числе</w:t>
      </w:r>
      <w:r>
        <w:t xml:space="preserve">: </w:t>
      </w:r>
      <w:r>
        <w:t xml:space="preserve">забор и доставка по адресам</w:t>
      </w:r>
      <w:r>
        <w:t xml:space="preserve">, указанн</w:t>
      </w:r>
      <w:r>
        <w:t xml:space="preserve">ым</w:t>
      </w:r>
      <w:r>
        <w:t xml:space="preserve"> в п. 3</w:t>
      </w:r>
      <w:r>
        <w:t xml:space="preserve">.</w:t>
      </w:r>
      <w:r/>
    </w:p>
    <w:p>
      <w:pPr>
        <w:ind w:firstLine="567"/>
        <w:jc w:val="both"/>
        <w:tabs>
          <w:tab w:val="left" w:pos="1100" w:leader="none"/>
        </w:tabs>
        <w:rPr>
          <w:i/>
        </w:rPr>
      </w:pPr>
      <w:r>
        <w:t xml:space="preserve">Стоимость включает все затр</w:t>
      </w:r>
      <w:r>
        <w:t xml:space="preserve">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а также таможенными пошлинами, и другими обязательными отчислениями, которые производятся </w:t>
      </w:r>
      <w:r>
        <w:t xml:space="preserve">Исполнителем</w:t>
      </w:r>
      <w:r>
        <w:t xml:space="preserve"> в соответствии с установленным законодательством Российской Федерации порядком, а также иные возможные затраты</w:t>
      </w:r>
      <w:r>
        <w:rPr>
          <w:i/>
        </w:rPr>
        <w:t xml:space="preserve">.</w:t>
      </w:r>
      <w:r>
        <w:t xml:space="preserve"> </w:t>
      </w:r>
      <w: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ind w:firstLine="709"/>
        <w:jc w:val="both"/>
        <w:tabs>
          <w:tab w:val="left" w:pos="993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tabs>
          <w:tab w:val="left" w:pos="993" w:leader="none"/>
        </w:tabs>
        <w:rPr>
          <w:b/>
        </w:rPr>
      </w:pPr>
      <w:r>
        <w:rPr>
          <w:b/>
          <w:bCs/>
        </w:rPr>
        <w:t xml:space="preserve">6</w:t>
      </w:r>
      <w:r>
        <w:rPr>
          <w:b/>
          <w:bCs/>
        </w:rPr>
        <w:t xml:space="preserve">.</w:t>
      </w:r>
      <w:r>
        <w:rPr>
          <w:b/>
          <w:bCs/>
        </w:rPr>
        <w:tab/>
      </w:r>
      <w:r>
        <w:rPr>
          <w:b/>
          <w:bCs/>
        </w:rPr>
        <w:t xml:space="preserve">Форма, сроки и порядок оплаты </w:t>
      </w:r>
      <w:r>
        <w:rPr>
          <w:b/>
          <w:bCs/>
        </w:rPr>
        <w:t xml:space="preserve">работ (услуг)</w:t>
      </w:r>
      <w:r>
        <w:rPr>
          <w:b/>
          <w:bCs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284" w:leader="none"/>
        </w:tabs>
        <w:rPr>
          <w:highlight w:val="none"/>
        </w:rPr>
      </w:pPr>
      <w:r>
        <w:tab/>
      </w:r>
      <w:r>
        <w:tab/>
      </w:r>
      <w:r>
        <w:t xml:space="preserve">6</w:t>
      </w:r>
      <w:r>
        <w:t xml:space="preserve">.1. </w:t>
      </w:r>
      <w:r>
        <w:t xml:space="preserve">Оплата производится в безналичном порядке в рублях РФ.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tabs>
          <w:tab w:val="left" w:pos="284" w:leader="none"/>
        </w:tabs>
        <w:rPr>
          <w:highlight w:val="none"/>
        </w:rPr>
      </w:pPr>
      <w:r>
        <w:rPr>
          <w:highlight w:val="none"/>
        </w:rPr>
        <w:t xml:space="preserve">6.2. Приемка оказанных услуг производится Заказчиком в течение 5 дней с момента получения акта об оказании услуг.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tabs>
          <w:tab w:val="left" w:pos="284" w:leader="none"/>
        </w:tabs>
      </w:pPr>
      <w:r>
        <w:rPr>
          <w:highlight w:val="none"/>
        </w:rPr>
        <w:t xml:space="preserve">6.3. Заказчик в течение 5 дней с даты получения актов об оказании услуг подписывает их или представляет Исполнителю письмо с мотивированными возражениями.</w:t>
      </w:r>
      <w:r>
        <w:rPr>
          <w:highlight w:val="none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</w:pPr>
      <w:r>
        <w:t xml:space="preserve">6.4. </w:t>
      </w:r>
      <w:r>
        <w:t xml:space="preserve">Оплата счетов Заказ</w:t>
      </w:r>
      <w:r>
        <w:t xml:space="preserve">чиком производится в течение </w:t>
      </w:r>
      <w:r>
        <w:t xml:space="preserve">30</w:t>
      </w:r>
      <w:r>
        <w:rPr>
          <w:sz w:val="26"/>
          <w:szCs w:val="26"/>
          <w:vertAlign w:val="superscript"/>
        </w:rPr>
        <w:footnoteReference w:id="2"/>
        <w:t xml:space="preserve"> </w:t>
      </w:r>
      <w:r>
        <w:t xml:space="preserve">рабочих</w:t>
      </w:r>
      <w:r>
        <w:t xml:space="preserve"> дней</w:t>
      </w:r>
      <w:r>
        <w:t xml:space="preserve">, </w:t>
      </w:r>
      <w:r>
        <w:t xml:space="preserve">после получения от Исполнителя отчета о фактически оказанных Услугах, счета и подписания Сторонами Акта об оказании услуг</w:t>
      </w:r>
      <w:r>
        <w:t xml:space="preserve">.</w:t>
      </w:r>
      <w:r>
        <w:rPr>
          <w:highlight w:val="none"/>
        </w:rPr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6.3.</w:t>
      </w:r>
      <w:r>
        <w:t xml:space="preserve">  </w:t>
      </w:r>
      <w:r>
        <w:t xml:space="preserve">Датой оплаты, считается дата списания денежных средств со счета Заказчика.</w:t>
      </w:r>
      <w:r/>
    </w:p>
    <w:p>
      <w:pPr>
        <w:ind w:firstLine="709"/>
        <w:jc w:val="both"/>
        <w:tabs>
          <w:tab w:val="left" w:pos="709" w:leader="none"/>
        </w:tabs>
        <w:rPr>
          <w:highlight w:val="none"/>
        </w:rPr>
      </w:pPr>
      <w:r>
        <w:t xml:space="preserve">6.4.</w:t>
      </w:r>
      <w:r>
        <w:t xml:space="preserve"> </w:t>
      </w:r>
      <w:r>
        <w:t xml:space="preserve">По окончании срока действия Договора или по требованию одной из Сторон в период его действия производится сверка взаиморасчетов и по ее результата</w:t>
      </w:r>
      <w:r>
        <w:t xml:space="preserve">м составляется двусторонний акт.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tabs>
          <w:tab w:val="left" w:pos="709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567"/>
        <w:jc w:val="both"/>
        <w:tabs>
          <w:tab w:val="left" w:pos="1134" w:leader="none"/>
        </w:tabs>
        <w:rPr>
          <w:b/>
          <w:bCs/>
        </w:rPr>
      </w:pPr>
      <w:r>
        <w:rPr>
          <w:b/>
          <w:bCs/>
        </w:rPr>
        <w:t xml:space="preserve">   </w:t>
      </w:r>
      <w:r>
        <w:rPr>
          <w:b/>
          <w:bCs/>
        </w:rPr>
        <w:t xml:space="preserve">7</w:t>
      </w:r>
      <w:r>
        <w:rPr>
          <w:b/>
          <w:bCs/>
        </w:rPr>
        <w:t xml:space="preserve">.</w:t>
      </w:r>
      <w:r>
        <w:rPr>
          <w:b/>
          <w:bCs/>
        </w:rPr>
        <w:tab/>
      </w:r>
      <w:r>
        <w:rPr>
          <w:b/>
          <w:bCs/>
        </w:rPr>
        <w:t xml:space="preserve">Сроки оказания услуг: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</w:pPr>
      <w:r>
        <w:t xml:space="preserve">  </w:t>
      </w:r>
      <w:r>
        <w:t xml:space="preserve">Общий срок оказания услуг по настоящему Договору </w:t>
      </w:r>
      <w:r>
        <w:t xml:space="preserve">– c момента подписания </w:t>
      </w:r>
      <w:r>
        <w:t xml:space="preserve">по 24.06</w:t>
      </w:r>
      <w:r>
        <w:t xml:space="preserve">.2027</w:t>
      </w:r>
      <w:r>
        <w:t xml:space="preserve">г.</w:t>
      </w:r>
      <w:r/>
    </w:p>
    <w:p>
      <w:r/>
      <w:r/>
    </w:p>
    <w:p>
      <w:pPr>
        <w:jc w:val="both"/>
        <w:spacing w:line="276" w:lineRule="auto"/>
      </w:pPr>
      <w:r/>
      <w:r/>
    </w:p>
    <w:p>
      <w:pPr>
        <w:ind w:firstLine="708"/>
        <w:jc w:val="both"/>
        <w:spacing w:line="276" w:lineRule="auto"/>
      </w:pPr>
      <w:r/>
      <w:r/>
    </w:p>
    <w:p>
      <w:pPr>
        <w:jc w:val="both"/>
        <w:spacing w:line="276" w:lineRule="auto"/>
      </w:pPr>
      <w:r>
        <w:t xml:space="preserve">Н</w:t>
      </w:r>
      <w:r>
        <w:t xml:space="preserve">ачальник</w:t>
      </w:r>
      <w:r>
        <w:t xml:space="preserve">а</w:t>
      </w:r>
      <w:r>
        <w:t xml:space="preserve"> ООТ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</w:t>
      </w:r>
      <w:r>
        <w:tab/>
        <w:t xml:space="preserve">              </w:t>
      </w:r>
      <w:r>
        <w:t xml:space="preserve">Н.А. Татаринков</w:t>
      </w:r>
      <w:r/>
    </w:p>
    <w:p>
      <w:pPr>
        <w:jc w:val="both"/>
        <w:spacing w:line="276" w:lineRule="auto"/>
      </w:pPr>
      <w:r/>
      <w:r/>
    </w:p>
    <w:p>
      <w:pPr>
        <w:jc w:val="both"/>
        <w:spacing w:line="276" w:lineRule="auto"/>
      </w:pPr>
      <w:r/>
      <w:r/>
    </w:p>
    <w:p>
      <w:pPr>
        <w:jc w:val="both"/>
        <w:spacing w:line="276" w:lineRule="auto"/>
      </w:pPr>
      <w:r/>
      <w:r/>
    </w:p>
    <w:p>
      <w:pPr>
        <w:jc w:val="both"/>
        <w:spacing w:line="276" w:lineRule="auto"/>
      </w:pPr>
      <w:r/>
      <w:r/>
    </w:p>
    <w:p>
      <w:pPr>
        <w:jc w:val="both"/>
        <w:spacing w:line="276" w:lineRule="auto"/>
      </w:pPr>
      <w:r/>
      <w:r/>
    </w:p>
    <w:p>
      <w:pPr>
        <w:jc w:val="both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Мишина А.О.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1"/>
        <w:jc w:val="both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8-496-765-27-83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spacing w:line="276" w:lineRule="auto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sectPr>
      <w:footerReference w:type="default" r:id="rId9"/>
      <w:footnotePr/>
      <w:endnotePr/>
      <w:type w:val="nextPage"/>
      <w:pgSz w:w="12240" w:h="15840" w:orient="portrait"/>
      <w:pgMar w:top="426" w:right="851" w:bottom="851" w:left="1701" w:header="426" w:footer="720" w:gutter="0"/>
      <w:pgNumType w:start="4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89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846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Максимальный срок оплаты поставленных товаров (выполненных работ, оказанных услуг) по договору (отдельному этапу договора), за</w:t>
      </w:r>
      <w:r>
        <w:rPr>
          <w:rFonts w:ascii="Times New Roman" w:hAnsi="Times New Roman"/>
          <w:sz w:val="24"/>
          <w:szCs w:val="24"/>
        </w:rPr>
        <w:t xml:space="preserve">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num w:numId="1">
    <w:abstractNumId w:val="0"/>
    <w:lvlOverride w:ilvl="0">
      <w:lvl w:ilvl="0">
        <w:start w:val="1"/>
        <w:numFmt w:val="bullet"/>
        <w:isLgl w:val="false"/>
        <w:suff w:val="tab"/>
        <w:lvlText w:val=""/>
        <w:legacy w:legacy="1" w:legacyIndent="360" w:legacySpace="0"/>
        <w:lvlJc w:val="left"/>
        <w:pPr/>
        <w:rPr>
          <w:rFonts w:hint="default" w:ascii="Symbol" w:hAnsi="Symbol"/>
        </w:rPr>
      </w:lvl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1">
    <w:name w:val="Heading 1 Char"/>
    <w:basedOn w:val="863"/>
    <w:link w:val="862"/>
    <w:uiPriority w:val="9"/>
    <w:rPr>
      <w:rFonts w:ascii="Arial" w:hAnsi="Arial" w:eastAsia="Arial" w:cs="Arial"/>
      <w:sz w:val="40"/>
      <w:szCs w:val="40"/>
    </w:rPr>
  </w:style>
  <w:style w:type="paragraph" w:styleId="692">
    <w:name w:val="Heading 2"/>
    <w:basedOn w:val="861"/>
    <w:next w:val="861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3">
    <w:name w:val="Heading 2 Char"/>
    <w:basedOn w:val="863"/>
    <w:link w:val="692"/>
    <w:uiPriority w:val="9"/>
    <w:rPr>
      <w:rFonts w:ascii="Arial" w:hAnsi="Arial" w:eastAsia="Arial" w:cs="Arial"/>
      <w:sz w:val="34"/>
    </w:rPr>
  </w:style>
  <w:style w:type="paragraph" w:styleId="694">
    <w:name w:val="Heading 3"/>
    <w:basedOn w:val="861"/>
    <w:next w:val="861"/>
    <w:link w:val="6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5">
    <w:name w:val="Heading 3 Char"/>
    <w:basedOn w:val="863"/>
    <w:link w:val="694"/>
    <w:uiPriority w:val="9"/>
    <w:rPr>
      <w:rFonts w:ascii="Arial" w:hAnsi="Arial" w:eastAsia="Arial" w:cs="Arial"/>
      <w:sz w:val="30"/>
      <w:szCs w:val="30"/>
    </w:rPr>
  </w:style>
  <w:style w:type="paragraph" w:styleId="696">
    <w:name w:val="Heading 4"/>
    <w:basedOn w:val="861"/>
    <w:next w:val="861"/>
    <w:link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>
    <w:name w:val="Heading 4 Char"/>
    <w:basedOn w:val="863"/>
    <w:link w:val="696"/>
    <w:uiPriority w:val="9"/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861"/>
    <w:next w:val="861"/>
    <w:link w:val="6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>
    <w:name w:val="Heading 5 Char"/>
    <w:basedOn w:val="86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861"/>
    <w:next w:val="861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basedOn w:val="863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861"/>
    <w:next w:val="861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basedOn w:val="863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861"/>
    <w:next w:val="861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basedOn w:val="863"/>
    <w:link w:val="704"/>
    <w:uiPriority w:val="9"/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861"/>
    <w:next w:val="861"/>
    <w:link w:val="7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basedOn w:val="863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No Spacing"/>
    <w:uiPriority w:val="1"/>
    <w:qFormat/>
    <w:pPr>
      <w:spacing w:before="0" w:after="0" w:line="240" w:lineRule="auto"/>
    </w:pPr>
  </w:style>
  <w:style w:type="character" w:styleId="709">
    <w:name w:val="Title Char"/>
    <w:basedOn w:val="863"/>
    <w:link w:val="887"/>
    <w:uiPriority w:val="10"/>
    <w:rPr>
      <w:sz w:val="48"/>
      <w:szCs w:val="48"/>
    </w:rPr>
  </w:style>
  <w:style w:type="paragraph" w:styleId="710">
    <w:name w:val="Subtitle"/>
    <w:basedOn w:val="861"/>
    <w:next w:val="861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>
    <w:name w:val="Subtitle Char"/>
    <w:basedOn w:val="863"/>
    <w:link w:val="710"/>
    <w:uiPriority w:val="11"/>
    <w:rPr>
      <w:sz w:val="24"/>
      <w:szCs w:val="24"/>
    </w:rPr>
  </w:style>
  <w:style w:type="paragraph" w:styleId="712">
    <w:name w:val="Quote"/>
    <w:basedOn w:val="861"/>
    <w:next w:val="861"/>
    <w:link w:val="713"/>
    <w:uiPriority w:val="29"/>
    <w:qFormat/>
    <w:pPr>
      <w:ind w:left="720" w:right="720"/>
    </w:pPr>
    <w:rPr>
      <w:i/>
    </w:r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861"/>
    <w:next w:val="861"/>
    <w:link w:val="7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>
    <w:name w:val="Intense Quote Char"/>
    <w:link w:val="714"/>
    <w:uiPriority w:val="30"/>
    <w:rPr>
      <w:i/>
    </w:rPr>
  </w:style>
  <w:style w:type="character" w:styleId="716">
    <w:name w:val="Header Char"/>
    <w:basedOn w:val="863"/>
    <w:link w:val="891"/>
    <w:uiPriority w:val="99"/>
  </w:style>
  <w:style w:type="character" w:styleId="717">
    <w:name w:val="Footer Char"/>
    <w:basedOn w:val="863"/>
    <w:link w:val="893"/>
    <w:uiPriority w:val="99"/>
  </w:style>
  <w:style w:type="paragraph" w:styleId="718">
    <w:name w:val="Caption"/>
    <w:basedOn w:val="861"/>
    <w:next w:val="861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863"/>
    <w:link w:val="718"/>
    <w:uiPriority w:val="35"/>
    <w:rPr>
      <w:b/>
      <w:bCs/>
      <w:color w:val="4f81bd" w:themeColor="accent1"/>
      <w:sz w:val="18"/>
      <w:szCs w:val="18"/>
    </w:rPr>
  </w:style>
  <w:style w:type="table" w:styleId="720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8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9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0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1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2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3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4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1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2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3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4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5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6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3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4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5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6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7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8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9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1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2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4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6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7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8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9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0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1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2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3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4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9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0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1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2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3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4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5">
    <w:name w:val="Footnote Text Char"/>
    <w:link w:val="889"/>
    <w:uiPriority w:val="99"/>
    <w:rPr>
      <w:sz w:val="18"/>
    </w:rPr>
  </w:style>
  <w:style w:type="character" w:styleId="846">
    <w:name w:val="footnote reference"/>
    <w:basedOn w:val="863"/>
    <w:uiPriority w:val="99"/>
    <w:unhideWhenUsed/>
    <w:rPr>
      <w:vertAlign w:val="superscript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basedOn w:val="863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qFormat/>
    <w:rPr>
      <w:sz w:val="24"/>
      <w:szCs w:val="24"/>
    </w:rPr>
  </w:style>
  <w:style w:type="paragraph" w:styleId="862">
    <w:name w:val="Heading 1"/>
    <w:basedOn w:val="861"/>
    <w:next w:val="861"/>
    <w:link w:val="866"/>
    <w:qFormat/>
    <w:pPr>
      <w:keepNext/>
      <w:outlineLvl w:val="0"/>
    </w:pPr>
    <w:rPr>
      <w:b/>
      <w:sz w:val="20"/>
      <w:szCs w:val="20"/>
    </w:rPr>
  </w:style>
  <w:style w:type="character" w:styleId="863" w:default="1">
    <w:name w:val="Default Paragraph Font"/>
    <w:uiPriority w:val="1"/>
    <w:semiHidden/>
    <w:unhideWhenUsed/>
  </w:style>
  <w:style w:type="table" w:styleId="8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5" w:default="1">
    <w:name w:val="No List"/>
    <w:uiPriority w:val="99"/>
    <w:semiHidden/>
    <w:unhideWhenUsed/>
  </w:style>
  <w:style w:type="character" w:styleId="866" w:customStyle="1">
    <w:name w:val="Заголовок 1 Знак"/>
    <w:link w:val="862"/>
    <w:rPr>
      <w:b/>
    </w:rPr>
  </w:style>
  <w:style w:type="table" w:styleId="867">
    <w:name w:val="Table Grid"/>
    <w:basedOn w:val="86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8">
    <w:name w:val="Hyperlink"/>
    <w:uiPriority w:val="99"/>
    <w:rPr>
      <w:color w:val="0000ff"/>
      <w:u w:val="single"/>
    </w:rPr>
  </w:style>
  <w:style w:type="character" w:styleId="869">
    <w:name w:val="FollowedHyperlink"/>
    <w:uiPriority w:val="99"/>
    <w:rPr>
      <w:color w:val="800080"/>
      <w:u w:val="single"/>
    </w:rPr>
  </w:style>
  <w:style w:type="paragraph" w:styleId="870">
    <w:name w:val="Body Text"/>
    <w:basedOn w:val="861"/>
    <w:link w:val="871"/>
    <w:unhideWhenUsed/>
    <w:pPr>
      <w:jc w:val="center"/>
      <w:shd w:val="clear" w:color="auto" w:fill="ffffff"/>
      <w:widowControl w:val="off"/>
    </w:pPr>
    <w:rPr>
      <w:rFonts w:ascii="Calibri" w:hAnsi="Calibri"/>
      <w:bCs/>
      <w:sz w:val="20"/>
      <w:szCs w:val="20"/>
      <w:shd w:val="clear" w:color="auto" w:fill="ffffff"/>
    </w:rPr>
  </w:style>
  <w:style w:type="character" w:styleId="871" w:customStyle="1">
    <w:name w:val="Основной текст Знак"/>
    <w:link w:val="870"/>
    <w:rPr>
      <w:rFonts w:ascii="Calibri" w:hAnsi="Calibri"/>
      <w:bCs/>
      <w:shd w:val="clear" w:color="auto" w:fill="ffffff"/>
    </w:rPr>
  </w:style>
  <w:style w:type="paragraph" w:styleId="872">
    <w:name w:val="Body Text Indent"/>
    <w:basedOn w:val="861"/>
    <w:link w:val="873"/>
    <w:pPr>
      <w:ind w:left="283" w:firstLine="567"/>
      <w:jc w:val="both"/>
      <w:spacing w:after="120" w:line="360" w:lineRule="auto"/>
    </w:pPr>
    <w:rPr>
      <w:bCs/>
      <w:sz w:val="22"/>
      <w:szCs w:val="22"/>
    </w:rPr>
  </w:style>
  <w:style w:type="character" w:styleId="873" w:customStyle="1">
    <w:name w:val="Основной текст с отступом Знак"/>
    <w:link w:val="872"/>
    <w:rPr>
      <w:bCs/>
      <w:sz w:val="22"/>
      <w:szCs w:val="22"/>
    </w:rPr>
  </w:style>
  <w:style w:type="paragraph" w:styleId="874">
    <w:name w:val="Body Text Indent 2"/>
    <w:basedOn w:val="861"/>
    <w:link w:val="875"/>
    <w:pPr>
      <w:ind w:left="283" w:firstLine="567"/>
      <w:jc w:val="both"/>
      <w:spacing w:after="120" w:line="480" w:lineRule="auto"/>
    </w:pPr>
    <w:rPr>
      <w:bCs/>
      <w:sz w:val="22"/>
      <w:szCs w:val="22"/>
    </w:rPr>
  </w:style>
  <w:style w:type="character" w:styleId="875" w:customStyle="1">
    <w:name w:val="Основной текст с отступом 2 Знак"/>
    <w:link w:val="874"/>
    <w:rPr>
      <w:bCs/>
      <w:sz w:val="22"/>
      <w:szCs w:val="22"/>
    </w:rPr>
  </w:style>
  <w:style w:type="paragraph" w:styleId="876">
    <w:name w:val="Balloon Text"/>
    <w:basedOn w:val="861"/>
    <w:link w:val="877"/>
    <w:rPr>
      <w:rFonts w:ascii="Tahoma" w:hAnsi="Tahoma"/>
      <w:sz w:val="16"/>
      <w:szCs w:val="16"/>
    </w:rPr>
  </w:style>
  <w:style w:type="character" w:styleId="877" w:customStyle="1">
    <w:name w:val="Текст выноски Знак"/>
    <w:link w:val="876"/>
    <w:rPr>
      <w:rFonts w:ascii="Tahoma" w:hAnsi="Tahoma" w:cs="Tahoma"/>
      <w:sz w:val="16"/>
      <w:szCs w:val="16"/>
    </w:rPr>
  </w:style>
  <w:style w:type="paragraph" w:styleId="878">
    <w:name w:val="Body Text 2"/>
    <w:basedOn w:val="861"/>
    <w:link w:val="879"/>
    <w:unhideWhenUsed/>
    <w:pPr>
      <w:spacing w:after="120" w:line="480" w:lineRule="auto"/>
    </w:pPr>
    <w:rPr>
      <w:sz w:val="28"/>
    </w:rPr>
  </w:style>
  <w:style w:type="character" w:styleId="879" w:customStyle="1">
    <w:name w:val="Основной текст 2 Знак"/>
    <w:link w:val="878"/>
    <w:rPr>
      <w:sz w:val="28"/>
      <w:szCs w:val="24"/>
    </w:rPr>
  </w:style>
  <w:style w:type="character" w:styleId="880">
    <w:name w:val="annotation reference"/>
    <w:basedOn w:val="863"/>
    <w:rPr>
      <w:sz w:val="16"/>
      <w:szCs w:val="16"/>
    </w:rPr>
  </w:style>
  <w:style w:type="paragraph" w:styleId="881">
    <w:name w:val="annotation text"/>
    <w:basedOn w:val="861"/>
    <w:link w:val="882"/>
    <w:rPr>
      <w:sz w:val="20"/>
      <w:szCs w:val="20"/>
    </w:rPr>
  </w:style>
  <w:style w:type="character" w:styleId="882" w:customStyle="1">
    <w:name w:val="Текст примечания Знак"/>
    <w:basedOn w:val="863"/>
    <w:link w:val="881"/>
  </w:style>
  <w:style w:type="paragraph" w:styleId="883">
    <w:name w:val="annotation subject"/>
    <w:basedOn w:val="881"/>
    <w:next w:val="881"/>
    <w:link w:val="884"/>
    <w:rPr>
      <w:b/>
      <w:bCs/>
    </w:rPr>
  </w:style>
  <w:style w:type="character" w:styleId="884" w:customStyle="1">
    <w:name w:val="Тема примечания Знак"/>
    <w:basedOn w:val="882"/>
    <w:link w:val="883"/>
    <w:rPr>
      <w:b/>
      <w:bCs/>
    </w:rPr>
  </w:style>
  <w:style w:type="table" w:styleId="885" w:customStyle="1">
    <w:name w:val="Сетка таблицы1"/>
    <w:basedOn w:val="864"/>
    <w:next w:val="867"/>
    <w:uiPriority w:val="59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6">
    <w:name w:val="List Paragraph"/>
    <w:basedOn w:val="861"/>
    <w:uiPriority w:val="34"/>
    <w:qFormat/>
    <w:pPr>
      <w:contextualSpacing/>
      <w:ind w:left="720"/>
    </w:pPr>
  </w:style>
  <w:style w:type="paragraph" w:styleId="887">
    <w:name w:val="Title"/>
    <w:basedOn w:val="861"/>
    <w:link w:val="888"/>
    <w:qFormat/>
    <w:pPr>
      <w:ind w:firstLine="567"/>
      <w:jc w:val="center"/>
      <w:shd w:val="clear" w:color="auto" w:fill="ffffff"/>
    </w:pPr>
    <w:rPr>
      <w:sz w:val="28"/>
    </w:rPr>
  </w:style>
  <w:style w:type="character" w:styleId="888" w:customStyle="1">
    <w:name w:val="Заголовок Знак"/>
    <w:basedOn w:val="863"/>
    <w:link w:val="887"/>
    <w:rPr>
      <w:sz w:val="28"/>
      <w:szCs w:val="24"/>
      <w:shd w:val="clear" w:color="auto" w:fill="ffffff"/>
    </w:rPr>
  </w:style>
  <w:style w:type="paragraph" w:styleId="889">
    <w:name w:val="footnote text"/>
    <w:basedOn w:val="861"/>
    <w:link w:val="890"/>
    <w:uiPriority w:val="99"/>
    <w:unhideWhenUsed/>
    <w:pPr>
      <w:ind w:firstLine="720"/>
      <w:jc w:val="center"/>
    </w:pPr>
    <w:rPr>
      <w:rFonts w:ascii="Calibri" w:hAnsi="Calibri" w:eastAsia="Calibri"/>
      <w:sz w:val="20"/>
      <w:szCs w:val="20"/>
      <w:lang w:eastAsia="en-US"/>
    </w:rPr>
  </w:style>
  <w:style w:type="character" w:styleId="890" w:customStyle="1">
    <w:name w:val="Текст сноски Знак"/>
    <w:basedOn w:val="863"/>
    <w:link w:val="889"/>
    <w:uiPriority w:val="99"/>
    <w:rPr>
      <w:rFonts w:ascii="Calibri" w:hAnsi="Calibri" w:eastAsia="Calibri"/>
      <w:lang w:eastAsia="en-US"/>
    </w:rPr>
  </w:style>
  <w:style w:type="paragraph" w:styleId="891">
    <w:name w:val="Header"/>
    <w:basedOn w:val="861"/>
    <w:link w:val="892"/>
    <w:unhideWhenUsed/>
    <w:pPr>
      <w:tabs>
        <w:tab w:val="center" w:pos="4677" w:leader="none"/>
        <w:tab w:val="right" w:pos="9355" w:leader="none"/>
      </w:tabs>
    </w:pPr>
  </w:style>
  <w:style w:type="character" w:styleId="892" w:customStyle="1">
    <w:name w:val="Верхний колонтитул Знак"/>
    <w:basedOn w:val="863"/>
    <w:link w:val="891"/>
    <w:rPr>
      <w:sz w:val="24"/>
      <w:szCs w:val="24"/>
    </w:rPr>
  </w:style>
  <w:style w:type="paragraph" w:styleId="893">
    <w:name w:val="Footer"/>
    <w:basedOn w:val="861"/>
    <w:link w:val="894"/>
    <w:unhideWhenUsed/>
    <w:pPr>
      <w:tabs>
        <w:tab w:val="center" w:pos="4677" w:leader="none"/>
        <w:tab w:val="right" w:pos="9355" w:leader="none"/>
      </w:tabs>
    </w:pPr>
  </w:style>
  <w:style w:type="character" w:styleId="894" w:customStyle="1">
    <w:name w:val="Нижний колонтитул Знак"/>
    <w:basedOn w:val="863"/>
    <w:link w:val="893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1A52A-5534-42B8-BDAF-3F9B7547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mishinaao</cp:lastModifiedBy>
  <cp:revision>20</cp:revision>
  <dcterms:created xsi:type="dcterms:W3CDTF">2022-06-24T12:15:00Z</dcterms:created>
  <dcterms:modified xsi:type="dcterms:W3CDTF">2026-05-29T07:10:20Z</dcterms:modified>
</cp:coreProperties>
</file>